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8EDF" w14:textId="77777777" w:rsidR="00B5679E" w:rsidRDefault="00B5679E" w:rsidP="00B5679E">
      <w:pPr>
        <w:pStyle w:val="Heading2"/>
        <w:ind w:left="10" w:right="5"/>
      </w:pPr>
      <w:r>
        <w:t>Frequently Asked Questions</w:t>
      </w:r>
    </w:p>
    <w:p w14:paraId="64D527C3" w14:textId="1048FB5F" w:rsidR="00B5679E" w:rsidRDefault="00B5679E" w:rsidP="00B5679E">
      <w:pPr>
        <w:pStyle w:val="Standard"/>
        <w:spacing w:after="130"/>
        <w:ind w:left="-5"/>
      </w:pPr>
      <w:r>
        <w:rPr>
          <w:b/>
        </w:rPr>
        <w:t xml:space="preserve">What </w:t>
      </w:r>
      <w:r w:rsidR="00777775">
        <w:rPr>
          <w:b/>
        </w:rPr>
        <w:t>are</w:t>
      </w:r>
      <w:r>
        <w:rPr>
          <w:b/>
        </w:rPr>
        <w:t xml:space="preserve"> the Scottish Junior </w:t>
      </w:r>
      <w:r w:rsidR="009E7DEC">
        <w:rPr>
          <w:b/>
        </w:rPr>
        <w:t>S</w:t>
      </w:r>
      <w:r>
        <w:rPr>
          <w:b/>
        </w:rPr>
        <w:t>ports &amp; Health Trust looking for?</w:t>
      </w:r>
    </w:p>
    <w:p w14:paraId="60635EDF" w14:textId="14A3C673" w:rsidR="00B5679E" w:rsidRDefault="00B5679E" w:rsidP="00B5679E">
      <w:pPr>
        <w:pStyle w:val="Standard"/>
        <w:ind w:left="-5"/>
      </w:pPr>
      <w:r>
        <w:t xml:space="preserve">The Trust is looking for projects that will make a difference </w:t>
      </w:r>
      <w:r w:rsidR="00984E5D">
        <w:t>and</w:t>
      </w:r>
      <w:r>
        <w:t xml:space="preserve"> encourag</w:t>
      </w:r>
      <w:r w:rsidR="00CB73D8">
        <w:t xml:space="preserve">e </w:t>
      </w:r>
      <w:r>
        <w:t>participation in healthy sporting activities. Projects that aim to deliver benefits over the long term and provide pathways for continued sporting participation are particularly welcomed. Priority will be given to projects which focus on youth participation</w:t>
      </w:r>
      <w:r w:rsidR="00984E5D">
        <w:t xml:space="preserve">, </w:t>
      </w:r>
      <w:r>
        <w:t>coaching and coach education</w:t>
      </w:r>
      <w:r w:rsidR="00984E5D">
        <w:t>,</w:t>
      </w:r>
      <w:r>
        <w:t xml:space="preserve"> </w:t>
      </w:r>
      <w:r w:rsidR="00984E5D">
        <w:t xml:space="preserve">supporting </w:t>
      </w:r>
      <w:r>
        <w:t xml:space="preserve">deprived </w:t>
      </w:r>
      <w:r w:rsidR="00984E5D">
        <w:t>communities and</w:t>
      </w:r>
      <w:r w:rsidR="00667BD6">
        <w:t>/</w:t>
      </w:r>
      <w:r w:rsidR="00984E5D">
        <w:t>or underrepresented groups</w:t>
      </w:r>
      <w:r>
        <w:t>.</w:t>
      </w:r>
    </w:p>
    <w:p w14:paraId="5F3B7497" w14:textId="77777777" w:rsidR="00B5679E" w:rsidRDefault="00B5679E" w:rsidP="00B5679E">
      <w:pPr>
        <w:pStyle w:val="Standard"/>
        <w:spacing w:after="130"/>
        <w:ind w:left="-5"/>
      </w:pPr>
      <w:r>
        <w:rPr>
          <w:b/>
        </w:rPr>
        <w:t>How much money can I apply for?</w:t>
      </w:r>
    </w:p>
    <w:p w14:paraId="06F4AE0F" w14:textId="77777777" w:rsidR="00B5679E" w:rsidRDefault="00B5679E" w:rsidP="00B5679E">
      <w:pPr>
        <w:pStyle w:val="Standard"/>
        <w:ind w:left="-5"/>
      </w:pPr>
      <w:r>
        <w:t xml:space="preserve">The trust will consider application for projects that require between £250 to £5,000 to support project delivery. The overall project cost can be more than £5,000 but you will need to clearly demonstrate where the remaining funds will be covered to ensure the project can progress swiftly. </w:t>
      </w:r>
    </w:p>
    <w:p w14:paraId="73C629D2" w14:textId="2842D9A4" w:rsidR="00B5679E" w:rsidRPr="004D024E" w:rsidRDefault="00B5679E" w:rsidP="00B5679E">
      <w:pPr>
        <w:pStyle w:val="Standard"/>
        <w:ind w:left="-5"/>
        <w:rPr>
          <w:b/>
          <w:bCs/>
        </w:rPr>
      </w:pPr>
      <w:r w:rsidRPr="004D024E">
        <w:rPr>
          <w:b/>
          <w:bCs/>
        </w:rPr>
        <w:t>What i</w:t>
      </w:r>
      <w:r w:rsidR="009E7DEC">
        <w:rPr>
          <w:b/>
          <w:bCs/>
        </w:rPr>
        <w:t>f</w:t>
      </w:r>
      <w:r w:rsidRPr="004D024E">
        <w:rPr>
          <w:b/>
          <w:bCs/>
        </w:rPr>
        <w:t xml:space="preserve"> my project needs more that £5,000</w:t>
      </w:r>
      <w:r w:rsidR="009E7DEC">
        <w:rPr>
          <w:b/>
          <w:bCs/>
        </w:rPr>
        <w:t>?</w:t>
      </w:r>
    </w:p>
    <w:p w14:paraId="143F5C38" w14:textId="27A42C17" w:rsidR="00B5679E" w:rsidRDefault="00B5679E" w:rsidP="00B5679E">
      <w:pPr>
        <w:pStyle w:val="Standard"/>
        <w:ind w:left="-5"/>
      </w:pPr>
      <w:r>
        <w:t>If you have a project that require</w:t>
      </w:r>
      <w:r w:rsidR="009E7DEC">
        <w:t>s</w:t>
      </w:r>
      <w:r>
        <w:t xml:space="preserve"> more that £5,000</w:t>
      </w:r>
      <w:r w:rsidR="00777775">
        <w:t>.</w:t>
      </w:r>
      <w:r>
        <w:t xml:space="preserve"> </w:t>
      </w:r>
      <w:r w:rsidR="00777775">
        <w:t>W</w:t>
      </w:r>
      <w:r>
        <w:t xml:space="preserve">e would </w:t>
      </w:r>
      <w:r w:rsidR="00777775">
        <w:t xml:space="preserve">still </w:t>
      </w:r>
      <w:r>
        <w:t>be happy to hear your idea as we may be able to work with you to identify alternative pots of funds and support you with the application process</w:t>
      </w:r>
      <w:r w:rsidR="00777775">
        <w:t>. Please contact us before completing the application to save time.</w:t>
      </w:r>
    </w:p>
    <w:p w14:paraId="5DC19ECB" w14:textId="4CEC475F" w:rsidR="00B5679E" w:rsidRDefault="00B5679E" w:rsidP="00B5679E">
      <w:pPr>
        <w:pStyle w:val="Standard"/>
        <w:spacing w:after="130"/>
        <w:ind w:left="-5"/>
      </w:pPr>
      <w:r>
        <w:rPr>
          <w:b/>
        </w:rPr>
        <w:t>What can</w:t>
      </w:r>
      <w:r w:rsidR="00CB73D8">
        <w:rPr>
          <w:b/>
        </w:rPr>
        <w:t xml:space="preserve"> we </w:t>
      </w:r>
      <w:r>
        <w:rPr>
          <w:b/>
        </w:rPr>
        <w:t>use the money for?</w:t>
      </w:r>
    </w:p>
    <w:p w14:paraId="67F5B267" w14:textId="790BB527" w:rsidR="00B5679E" w:rsidRDefault="00B5679E" w:rsidP="00B5679E">
      <w:pPr>
        <w:pStyle w:val="Standard"/>
        <w:ind w:left="-5"/>
      </w:pPr>
      <w:r>
        <w:t>Funding can be used for a range of costs including</w:t>
      </w:r>
      <w:r w:rsidR="004D024E">
        <w:t xml:space="preserve"> but not limited to</w:t>
      </w:r>
      <w: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5659"/>
      </w:tblGrid>
      <w:tr w:rsidR="00B5679E" w14:paraId="6CC947FB" w14:textId="77777777" w:rsidTr="00903A15">
        <w:tc>
          <w:tcPr>
            <w:tcW w:w="3544" w:type="dxa"/>
          </w:tcPr>
          <w:p w14:paraId="57C9FF65" w14:textId="39E43AF3" w:rsidR="00B5679E" w:rsidRDefault="00B5679E" w:rsidP="00B5679E">
            <w:pPr>
              <w:pStyle w:val="Standard"/>
              <w:numPr>
                <w:ilvl w:val="0"/>
                <w:numId w:val="1"/>
              </w:numPr>
              <w:spacing w:after="0" w:line="240" w:lineRule="auto"/>
            </w:pPr>
            <w:r>
              <w:t xml:space="preserve">Coaching </w:t>
            </w:r>
            <w:r w:rsidR="009E7DEC">
              <w:t>f</w:t>
            </w:r>
            <w:r>
              <w:t xml:space="preserve">ees; </w:t>
            </w:r>
          </w:p>
        </w:tc>
        <w:tc>
          <w:tcPr>
            <w:tcW w:w="6085" w:type="dxa"/>
          </w:tcPr>
          <w:p w14:paraId="7B57A7B2" w14:textId="77777777" w:rsidR="00B5679E" w:rsidRDefault="00B5679E" w:rsidP="00B5679E">
            <w:pPr>
              <w:pStyle w:val="Standard"/>
              <w:numPr>
                <w:ilvl w:val="0"/>
                <w:numId w:val="1"/>
              </w:numPr>
              <w:spacing w:after="0" w:line="240" w:lineRule="auto"/>
            </w:pPr>
            <w:r>
              <w:t xml:space="preserve">Sport scholarships; </w:t>
            </w:r>
          </w:p>
        </w:tc>
      </w:tr>
      <w:tr w:rsidR="00B5679E" w14:paraId="49D241B6" w14:textId="77777777" w:rsidTr="00903A15">
        <w:tc>
          <w:tcPr>
            <w:tcW w:w="3544" w:type="dxa"/>
          </w:tcPr>
          <w:p w14:paraId="00DB4CD1" w14:textId="603C3B15" w:rsidR="00B5679E" w:rsidRDefault="00B5679E" w:rsidP="00B5679E">
            <w:pPr>
              <w:pStyle w:val="Standard"/>
              <w:numPr>
                <w:ilvl w:val="0"/>
                <w:numId w:val="1"/>
              </w:numPr>
              <w:spacing w:after="0" w:line="240" w:lineRule="auto"/>
            </w:pPr>
            <w:r>
              <w:t xml:space="preserve">Facility </w:t>
            </w:r>
            <w:proofErr w:type="gramStart"/>
            <w:r>
              <w:t>hire</w:t>
            </w:r>
            <w:proofErr w:type="gramEnd"/>
            <w:r w:rsidR="009E7DEC">
              <w:t>;</w:t>
            </w:r>
            <w:r>
              <w:t xml:space="preserve"> </w:t>
            </w:r>
          </w:p>
        </w:tc>
        <w:tc>
          <w:tcPr>
            <w:tcW w:w="6085" w:type="dxa"/>
          </w:tcPr>
          <w:p w14:paraId="781E9F4D" w14:textId="5BA1C344" w:rsidR="00B5679E" w:rsidRDefault="00B5679E" w:rsidP="00B5679E">
            <w:pPr>
              <w:pStyle w:val="Standard"/>
              <w:numPr>
                <w:ilvl w:val="0"/>
                <w:numId w:val="1"/>
              </w:numPr>
              <w:spacing w:after="0" w:line="240" w:lineRule="auto"/>
            </w:pPr>
            <w:r>
              <w:t>Marketing</w:t>
            </w:r>
            <w:r w:rsidR="009E7DEC">
              <w:t>;</w:t>
            </w:r>
          </w:p>
        </w:tc>
      </w:tr>
      <w:tr w:rsidR="00B5679E" w14:paraId="7BF9F334" w14:textId="77777777" w:rsidTr="00903A15">
        <w:tc>
          <w:tcPr>
            <w:tcW w:w="3544" w:type="dxa"/>
          </w:tcPr>
          <w:p w14:paraId="222FC859" w14:textId="77777777" w:rsidR="00B5679E" w:rsidRDefault="00B5679E" w:rsidP="00B5679E">
            <w:pPr>
              <w:pStyle w:val="Standard"/>
              <w:numPr>
                <w:ilvl w:val="0"/>
                <w:numId w:val="1"/>
              </w:numPr>
              <w:spacing w:after="0" w:line="240" w:lineRule="auto"/>
            </w:pPr>
            <w:r>
              <w:t xml:space="preserve">Coach education; </w:t>
            </w:r>
          </w:p>
        </w:tc>
        <w:tc>
          <w:tcPr>
            <w:tcW w:w="6085" w:type="dxa"/>
          </w:tcPr>
          <w:p w14:paraId="1E25C105" w14:textId="77777777" w:rsidR="00B5679E" w:rsidRDefault="00B5679E" w:rsidP="00B5679E">
            <w:pPr>
              <w:pStyle w:val="Standard"/>
              <w:numPr>
                <w:ilvl w:val="0"/>
                <w:numId w:val="1"/>
              </w:numPr>
              <w:spacing w:after="0" w:line="240" w:lineRule="auto"/>
            </w:pPr>
            <w:r>
              <w:t xml:space="preserve">Purchase of equipment </w:t>
            </w:r>
          </w:p>
          <w:p w14:paraId="296AA99F" w14:textId="77777777" w:rsidR="00B5679E" w:rsidRDefault="00B5679E" w:rsidP="00903A15">
            <w:pPr>
              <w:pStyle w:val="Standard"/>
              <w:spacing w:after="0" w:line="240" w:lineRule="auto"/>
              <w:ind w:left="703" w:firstLine="0"/>
            </w:pPr>
            <w:r>
              <w:t>(equipment only bids will not be considered)</w:t>
            </w:r>
          </w:p>
        </w:tc>
      </w:tr>
    </w:tbl>
    <w:p w14:paraId="764029FB" w14:textId="77777777" w:rsidR="00777775" w:rsidRDefault="00777775" w:rsidP="00777775">
      <w:pPr>
        <w:pStyle w:val="Standard"/>
        <w:spacing w:after="0" w:line="240" w:lineRule="auto"/>
        <w:ind w:left="-6" w:hanging="11"/>
        <w:rPr>
          <w:b/>
        </w:rPr>
      </w:pPr>
    </w:p>
    <w:p w14:paraId="0D98191F" w14:textId="46CED95E" w:rsidR="00984E5D" w:rsidRDefault="00984E5D" w:rsidP="00984E5D">
      <w:pPr>
        <w:pStyle w:val="Standard"/>
        <w:spacing w:after="141"/>
        <w:ind w:left="-5"/>
      </w:pPr>
      <w:r>
        <w:t>The trust will not fund any of the following:</w:t>
      </w:r>
    </w:p>
    <w:p w14:paraId="1F08705D" w14:textId="0875CCC9" w:rsidR="00984E5D" w:rsidRDefault="00984E5D" w:rsidP="00984E5D">
      <w:pPr>
        <w:pStyle w:val="Standard"/>
        <w:numPr>
          <w:ilvl w:val="0"/>
          <w:numId w:val="4"/>
        </w:numPr>
        <w:spacing w:after="3"/>
        <w:ind w:hanging="420"/>
      </w:pPr>
      <w:r>
        <w:t>general administration or other costs not related to a specific event or activity.</w:t>
      </w:r>
    </w:p>
    <w:p w14:paraId="21CB58CF" w14:textId="4DD5611B" w:rsidR="00984E5D" w:rsidRDefault="00984E5D" w:rsidP="00943951">
      <w:pPr>
        <w:pStyle w:val="Standard"/>
        <w:numPr>
          <w:ilvl w:val="0"/>
          <w:numId w:val="4"/>
        </w:numPr>
        <w:spacing w:after="8"/>
        <w:ind w:hanging="420"/>
      </w:pPr>
      <w:r>
        <w:t>Non-sports events/projects</w:t>
      </w:r>
      <w:r w:rsidR="00943951">
        <w:t xml:space="preserve"> or</w:t>
      </w:r>
      <w:r w:rsidR="00943951" w:rsidRPr="00943951">
        <w:t xml:space="preserve"> </w:t>
      </w:r>
      <w:r w:rsidR="00943951">
        <w:t>Conferences.</w:t>
      </w:r>
    </w:p>
    <w:p w14:paraId="111AB972" w14:textId="77777777" w:rsidR="00984E5D" w:rsidRDefault="00984E5D" w:rsidP="00984E5D">
      <w:pPr>
        <w:pStyle w:val="Standard"/>
        <w:numPr>
          <w:ilvl w:val="0"/>
          <w:numId w:val="4"/>
        </w:numPr>
        <w:spacing w:after="8"/>
        <w:ind w:hanging="420"/>
      </w:pPr>
      <w:r>
        <w:t>General fundraising and donations.</w:t>
      </w:r>
    </w:p>
    <w:p w14:paraId="4948FF63" w14:textId="77777777" w:rsidR="00984E5D" w:rsidRDefault="00984E5D" w:rsidP="00984E5D">
      <w:pPr>
        <w:pStyle w:val="Standard"/>
        <w:numPr>
          <w:ilvl w:val="0"/>
          <w:numId w:val="4"/>
        </w:numPr>
        <w:spacing w:after="3"/>
        <w:ind w:hanging="420"/>
      </w:pPr>
      <w:r>
        <w:t xml:space="preserve">Commercial entertainment, commercial </w:t>
      </w:r>
      <w:proofErr w:type="gramStart"/>
      <w:r>
        <w:t>tours</w:t>
      </w:r>
      <w:proofErr w:type="gramEnd"/>
      <w:r>
        <w:t xml:space="preserve"> or other commercial activities.</w:t>
      </w:r>
    </w:p>
    <w:p w14:paraId="42317EB4" w14:textId="117C7220" w:rsidR="00984E5D" w:rsidRDefault="00984E5D" w:rsidP="00984E5D">
      <w:pPr>
        <w:pStyle w:val="Standard"/>
        <w:numPr>
          <w:ilvl w:val="0"/>
          <w:numId w:val="4"/>
        </w:numPr>
        <w:spacing w:after="3"/>
        <w:ind w:hanging="420"/>
      </w:pPr>
      <w:r>
        <w:t>Payment of commission to agents and consultants, PR, or sponsorship.</w:t>
      </w:r>
    </w:p>
    <w:p w14:paraId="66232537" w14:textId="2A3DE222" w:rsidR="00984E5D" w:rsidRDefault="00984E5D" w:rsidP="00984E5D">
      <w:pPr>
        <w:pStyle w:val="Standard"/>
        <w:numPr>
          <w:ilvl w:val="0"/>
          <w:numId w:val="4"/>
        </w:numPr>
        <w:spacing w:after="8"/>
        <w:ind w:hanging="420"/>
      </w:pPr>
      <w:r>
        <w:t>Equipment only bids will not be considered.</w:t>
      </w:r>
    </w:p>
    <w:p w14:paraId="6D57AB49" w14:textId="11E751A2" w:rsidR="00984E5D" w:rsidRDefault="00984E5D" w:rsidP="00984E5D">
      <w:pPr>
        <w:pStyle w:val="Standard"/>
        <w:numPr>
          <w:ilvl w:val="0"/>
          <w:numId w:val="4"/>
        </w:numPr>
        <w:spacing w:after="8"/>
        <w:ind w:hanging="420"/>
      </w:pPr>
      <w:r>
        <w:t>Funding for kit or clothing</w:t>
      </w:r>
    </w:p>
    <w:p w14:paraId="5752F678" w14:textId="6477910D" w:rsidR="00984E5D" w:rsidRDefault="00984E5D" w:rsidP="00984E5D">
      <w:pPr>
        <w:pStyle w:val="Standard"/>
        <w:numPr>
          <w:ilvl w:val="0"/>
          <w:numId w:val="4"/>
        </w:numPr>
        <w:spacing w:after="8"/>
        <w:ind w:hanging="420"/>
      </w:pPr>
      <w:r>
        <w:t xml:space="preserve">Hospitality, Corporate </w:t>
      </w:r>
      <w:proofErr w:type="gramStart"/>
      <w:r>
        <w:t>membership</w:t>
      </w:r>
      <w:proofErr w:type="gramEnd"/>
      <w:r>
        <w:t xml:space="preserve"> or entertainment costs.</w:t>
      </w:r>
    </w:p>
    <w:p w14:paraId="31BDC3CC" w14:textId="77777777" w:rsidR="00984E5D" w:rsidRDefault="00984E5D" w:rsidP="00B5679E">
      <w:pPr>
        <w:pStyle w:val="Standard"/>
        <w:spacing w:after="130"/>
        <w:ind w:left="-5"/>
        <w:rPr>
          <w:b/>
        </w:rPr>
      </w:pPr>
    </w:p>
    <w:p w14:paraId="328F89AD" w14:textId="68918590" w:rsidR="00B5679E" w:rsidRDefault="00B5679E" w:rsidP="00B5679E">
      <w:pPr>
        <w:pStyle w:val="Standard"/>
        <w:spacing w:after="130"/>
        <w:ind w:left="-5"/>
      </w:pPr>
      <w:r>
        <w:rPr>
          <w:b/>
        </w:rPr>
        <w:t>What timescale do we have to spend the funds?</w:t>
      </w:r>
    </w:p>
    <w:p w14:paraId="47A18385" w14:textId="25AA5962" w:rsidR="00B5679E" w:rsidRDefault="00B5679E" w:rsidP="00B5679E">
      <w:pPr>
        <w:pStyle w:val="Standard"/>
        <w:ind w:left="-5"/>
      </w:pPr>
      <w:r>
        <w:t>Funding is considered for one year. If your project lasts longer than this, you may</w:t>
      </w:r>
      <w:r w:rsidR="009E7DEC">
        <w:t xml:space="preserve"> </w:t>
      </w:r>
      <w:r>
        <w:t xml:space="preserve">be able to apply for funding again after the first year, but you must submit separate </w:t>
      </w:r>
      <w:r>
        <w:lastRenderedPageBreak/>
        <w:t>applications for each year. If you receive funding for the first year,</w:t>
      </w:r>
      <w:r w:rsidR="00CB73D8">
        <w:t xml:space="preserve"> further</w:t>
      </w:r>
      <w:r>
        <w:t xml:space="preserve"> funding is not automatically guaranteed. </w:t>
      </w:r>
    </w:p>
    <w:p w14:paraId="49DFA6BF" w14:textId="40286DFC" w:rsidR="004D024E" w:rsidRDefault="004D024E" w:rsidP="004D024E">
      <w:pPr>
        <w:pStyle w:val="Standard"/>
        <w:spacing w:after="130"/>
        <w:ind w:left="-5"/>
      </w:pPr>
      <w:r>
        <w:rPr>
          <w:b/>
        </w:rPr>
        <w:t>How long will it take for my applications to be assessed?</w:t>
      </w:r>
    </w:p>
    <w:p w14:paraId="380D96DF" w14:textId="0D5D3FEE" w:rsidR="004F1982" w:rsidRPr="00984E5D" w:rsidRDefault="004D024E" w:rsidP="00984E5D">
      <w:pPr>
        <w:pStyle w:val="Standard"/>
        <w:ind w:left="-5"/>
      </w:pPr>
      <w:r>
        <w:t xml:space="preserve">The Trustees will meet </w:t>
      </w:r>
      <w:proofErr w:type="gramStart"/>
      <w:r>
        <w:t>on a monthly basis</w:t>
      </w:r>
      <w:proofErr w:type="gramEnd"/>
      <w:r>
        <w:t>, where all application</w:t>
      </w:r>
      <w:r w:rsidR="009E7DEC">
        <w:t>s</w:t>
      </w:r>
      <w:r>
        <w:t xml:space="preserve"> will be review</w:t>
      </w:r>
      <w:r w:rsidR="009E7DEC">
        <w:t>ed</w:t>
      </w:r>
      <w:r>
        <w:t xml:space="preserve"> and assess</w:t>
      </w:r>
      <w:r w:rsidR="009E7DEC">
        <w:t>ed</w:t>
      </w:r>
      <w:r>
        <w:t xml:space="preserve"> so that a quick decision can be made.</w:t>
      </w:r>
    </w:p>
    <w:p w14:paraId="1A3F5EB5" w14:textId="4E1FE128" w:rsidR="00B5679E" w:rsidRDefault="00B5679E" w:rsidP="00B5679E">
      <w:pPr>
        <w:pStyle w:val="Standard"/>
        <w:spacing w:after="130"/>
        <w:ind w:left="-5"/>
      </w:pPr>
      <w:r>
        <w:rPr>
          <w:b/>
        </w:rPr>
        <w:t>What happens if my application is successful?</w:t>
      </w:r>
    </w:p>
    <w:p w14:paraId="18607F49" w14:textId="77777777" w:rsidR="004D024E" w:rsidRDefault="00B5679E" w:rsidP="00B5679E">
      <w:pPr>
        <w:pStyle w:val="Standard"/>
        <w:spacing w:after="232"/>
        <w:ind w:left="-5"/>
      </w:pPr>
      <w:r>
        <w:t xml:space="preserve">If your application is approved by the Trust, you will be sent </w:t>
      </w:r>
      <w:r w:rsidR="004D024E">
        <w:t>a pack containing: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5467"/>
      </w:tblGrid>
      <w:tr w:rsidR="004D024E" w14:paraId="7128C17B" w14:textId="77777777" w:rsidTr="004D024E">
        <w:tc>
          <w:tcPr>
            <w:tcW w:w="3549" w:type="dxa"/>
          </w:tcPr>
          <w:p w14:paraId="49D00EE3" w14:textId="4CCBE026" w:rsidR="004D024E" w:rsidRPr="004D024E" w:rsidRDefault="004D024E" w:rsidP="004D024E">
            <w:pPr>
              <w:pStyle w:val="Standard"/>
              <w:numPr>
                <w:ilvl w:val="0"/>
                <w:numId w:val="2"/>
              </w:numPr>
              <w:spacing w:after="0" w:line="240" w:lineRule="auto"/>
              <w:ind w:left="703" w:hanging="357"/>
              <w:rPr>
                <w:color w:val="474747"/>
              </w:rPr>
            </w:pPr>
            <w:r>
              <w:t xml:space="preserve">Offer </w:t>
            </w:r>
            <w:r w:rsidR="009E7DEC">
              <w:t>l</w:t>
            </w:r>
            <w:r>
              <w:t>etter</w:t>
            </w:r>
            <w:r>
              <w:rPr>
                <w:color w:val="474747"/>
              </w:rPr>
              <w:t xml:space="preserve"> </w:t>
            </w:r>
          </w:p>
        </w:tc>
        <w:tc>
          <w:tcPr>
            <w:tcW w:w="5467" w:type="dxa"/>
          </w:tcPr>
          <w:p w14:paraId="4DD7F6ED" w14:textId="1848E598" w:rsidR="004D024E" w:rsidRDefault="004D024E" w:rsidP="004D024E">
            <w:pPr>
              <w:pStyle w:val="Standard"/>
              <w:numPr>
                <w:ilvl w:val="0"/>
                <w:numId w:val="2"/>
              </w:numPr>
              <w:spacing w:after="0" w:line="240" w:lineRule="auto"/>
              <w:ind w:left="703" w:hanging="357"/>
            </w:pPr>
            <w:r>
              <w:t xml:space="preserve">Declaration of </w:t>
            </w:r>
            <w:r w:rsidR="009E7DEC">
              <w:t>a</w:t>
            </w:r>
            <w:r>
              <w:t>cceptance</w:t>
            </w:r>
          </w:p>
        </w:tc>
      </w:tr>
      <w:tr w:rsidR="004D024E" w14:paraId="79AB964A" w14:textId="77777777" w:rsidTr="004D024E">
        <w:tc>
          <w:tcPr>
            <w:tcW w:w="3549" w:type="dxa"/>
          </w:tcPr>
          <w:p w14:paraId="43936E4A" w14:textId="062FC6A0" w:rsidR="004D024E" w:rsidRDefault="004D024E" w:rsidP="004D024E">
            <w:pPr>
              <w:pStyle w:val="Standard"/>
              <w:numPr>
                <w:ilvl w:val="0"/>
                <w:numId w:val="2"/>
              </w:numPr>
              <w:spacing w:after="0" w:line="240" w:lineRule="auto"/>
              <w:ind w:left="703" w:hanging="357"/>
            </w:pPr>
            <w:r>
              <w:t>Terms and conditions</w:t>
            </w:r>
          </w:p>
        </w:tc>
        <w:tc>
          <w:tcPr>
            <w:tcW w:w="5467" w:type="dxa"/>
          </w:tcPr>
          <w:p w14:paraId="09FAE839" w14:textId="2C6A71B2" w:rsidR="004D024E" w:rsidRDefault="004D024E" w:rsidP="004D024E">
            <w:pPr>
              <w:pStyle w:val="Standard"/>
              <w:numPr>
                <w:ilvl w:val="0"/>
                <w:numId w:val="2"/>
              </w:numPr>
              <w:spacing w:after="0" w:line="240" w:lineRule="auto"/>
              <w:ind w:left="703" w:hanging="357"/>
            </w:pPr>
            <w:r>
              <w:t xml:space="preserve">Details of </w:t>
            </w:r>
            <w:r w:rsidR="009E7DEC">
              <w:t>r</w:t>
            </w:r>
            <w:r>
              <w:t xml:space="preserve">eporting </w:t>
            </w:r>
            <w:r w:rsidR="009E7DEC">
              <w:t>r</w:t>
            </w:r>
            <w:r>
              <w:t>equirements</w:t>
            </w:r>
          </w:p>
        </w:tc>
      </w:tr>
    </w:tbl>
    <w:p w14:paraId="7B812BBB" w14:textId="20EBFD48" w:rsidR="004D024E" w:rsidRDefault="004D024E" w:rsidP="00777775">
      <w:pPr>
        <w:pStyle w:val="Standard"/>
        <w:spacing w:after="0" w:line="240" w:lineRule="auto"/>
        <w:ind w:left="-6" w:hanging="11"/>
      </w:pPr>
      <w:r>
        <w:t xml:space="preserve"> </w:t>
      </w:r>
    </w:p>
    <w:p w14:paraId="1BA74546" w14:textId="3F9CAA7F" w:rsidR="004D024E" w:rsidRDefault="00B5679E" w:rsidP="00B5679E">
      <w:pPr>
        <w:pStyle w:val="Standard"/>
        <w:spacing w:after="232"/>
        <w:ind w:left="-5"/>
      </w:pPr>
      <w:r>
        <w:t xml:space="preserve">which you will need to sign and return to the Trust. </w:t>
      </w:r>
      <w:r w:rsidR="004D024E">
        <w:t>At this stage you will need to provide the information and documentation highlighted in the application form</w:t>
      </w:r>
      <w:r w:rsidR="009E7DEC">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4D024E" w14:paraId="1322EAB7" w14:textId="77777777" w:rsidTr="004D024E">
        <w:tc>
          <w:tcPr>
            <w:tcW w:w="3544" w:type="dxa"/>
          </w:tcPr>
          <w:p w14:paraId="58003BF2" w14:textId="4204318A" w:rsidR="004D024E" w:rsidRDefault="004D024E" w:rsidP="004D024E">
            <w:pPr>
              <w:pStyle w:val="Standard"/>
              <w:numPr>
                <w:ilvl w:val="0"/>
                <w:numId w:val="3"/>
              </w:numPr>
              <w:spacing w:after="0" w:line="240" w:lineRule="auto"/>
            </w:pPr>
            <w:r>
              <w:t>Safeguarding Policy</w:t>
            </w:r>
          </w:p>
        </w:tc>
        <w:tc>
          <w:tcPr>
            <w:tcW w:w="5472" w:type="dxa"/>
          </w:tcPr>
          <w:p w14:paraId="1C08A808" w14:textId="62EB1C1A" w:rsidR="004D024E" w:rsidRDefault="004D024E" w:rsidP="004D024E">
            <w:pPr>
              <w:pStyle w:val="Standard"/>
              <w:numPr>
                <w:ilvl w:val="0"/>
                <w:numId w:val="3"/>
              </w:numPr>
              <w:spacing w:after="0" w:line="240" w:lineRule="auto"/>
            </w:pPr>
            <w:r>
              <w:t>Equality Policy or statement</w:t>
            </w:r>
          </w:p>
        </w:tc>
      </w:tr>
      <w:tr w:rsidR="004D024E" w14:paraId="71431993" w14:textId="77777777" w:rsidTr="004D024E">
        <w:tc>
          <w:tcPr>
            <w:tcW w:w="3544" w:type="dxa"/>
          </w:tcPr>
          <w:p w14:paraId="3F81C6CB" w14:textId="77777777" w:rsidR="004D024E" w:rsidRDefault="004D024E" w:rsidP="004D024E">
            <w:pPr>
              <w:pStyle w:val="Standard"/>
              <w:numPr>
                <w:ilvl w:val="0"/>
                <w:numId w:val="3"/>
              </w:numPr>
              <w:spacing w:after="0" w:line="240" w:lineRule="auto"/>
            </w:pPr>
            <w:r>
              <w:t>Any letters of support</w:t>
            </w:r>
          </w:p>
          <w:p w14:paraId="3D931D9C" w14:textId="77777777" w:rsidR="004D024E" w:rsidRDefault="004D024E" w:rsidP="004D024E">
            <w:pPr>
              <w:pStyle w:val="Standard"/>
              <w:spacing w:after="0" w:line="240" w:lineRule="auto"/>
              <w:ind w:left="0" w:firstLine="0"/>
            </w:pPr>
          </w:p>
        </w:tc>
        <w:tc>
          <w:tcPr>
            <w:tcW w:w="5472" w:type="dxa"/>
          </w:tcPr>
          <w:p w14:paraId="4FE3CD2D" w14:textId="38AD83B7" w:rsidR="004D024E" w:rsidRDefault="004D024E" w:rsidP="004D024E">
            <w:pPr>
              <w:pStyle w:val="Standard"/>
              <w:numPr>
                <w:ilvl w:val="0"/>
                <w:numId w:val="3"/>
              </w:numPr>
              <w:spacing w:after="0" w:line="240" w:lineRule="auto"/>
            </w:pPr>
            <w:r>
              <w:t>Bank Details for fund transfer</w:t>
            </w:r>
          </w:p>
        </w:tc>
      </w:tr>
    </w:tbl>
    <w:p w14:paraId="0C2113FC" w14:textId="0B1ABA5D" w:rsidR="00B5679E" w:rsidRDefault="004D024E" w:rsidP="00B5679E">
      <w:pPr>
        <w:pStyle w:val="Standard"/>
        <w:spacing w:after="232"/>
        <w:ind w:left="-5"/>
      </w:pPr>
      <w:r>
        <w:t>No</w:t>
      </w:r>
      <w:r w:rsidR="009E7DEC">
        <w:t>t</w:t>
      </w:r>
      <w:r>
        <w:t xml:space="preserve"> until all information is si</w:t>
      </w:r>
      <w:r w:rsidR="00B5679E">
        <w:t>gn</w:t>
      </w:r>
      <w:r w:rsidR="009E7DEC">
        <w:t>ed</w:t>
      </w:r>
      <w:r w:rsidR="00B5679E">
        <w:t xml:space="preserve"> </w:t>
      </w:r>
      <w:r>
        <w:t>will we be able to release funds and projects should not start until this process is complete.</w:t>
      </w:r>
    </w:p>
    <w:p w14:paraId="3030101C" w14:textId="1F6A8ACD" w:rsidR="004D024E" w:rsidRDefault="004D024E" w:rsidP="00B5679E">
      <w:pPr>
        <w:pStyle w:val="Standard"/>
        <w:spacing w:after="130"/>
        <w:ind w:left="-5"/>
        <w:rPr>
          <w:b/>
        </w:rPr>
      </w:pPr>
      <w:r>
        <w:rPr>
          <w:b/>
        </w:rPr>
        <w:t>What do I need to provide additional document</w:t>
      </w:r>
      <w:r w:rsidR="009E7DEC">
        <w:rPr>
          <w:b/>
        </w:rPr>
        <w:t>s</w:t>
      </w:r>
      <w:r>
        <w:rPr>
          <w:b/>
        </w:rPr>
        <w:t xml:space="preserve"> like safeguarding policies and letters of support</w:t>
      </w:r>
      <w:r w:rsidR="009E7DEC">
        <w:rPr>
          <w:b/>
        </w:rPr>
        <w:t>?</w:t>
      </w:r>
    </w:p>
    <w:p w14:paraId="122D7BB8" w14:textId="782CB7B5" w:rsidR="004D024E" w:rsidRPr="006D6E55" w:rsidRDefault="006D6E55" w:rsidP="00B5679E">
      <w:pPr>
        <w:pStyle w:val="Standard"/>
        <w:spacing w:after="130"/>
        <w:ind w:left="-5"/>
        <w:rPr>
          <w:bCs/>
        </w:rPr>
      </w:pPr>
      <w:r w:rsidRPr="006D6E55">
        <w:rPr>
          <w:bCs/>
        </w:rPr>
        <w:t>We are committed to providing funding to high quality groups and organisation</w:t>
      </w:r>
      <w:r w:rsidR="009E7DEC">
        <w:rPr>
          <w:bCs/>
        </w:rPr>
        <w:t>s</w:t>
      </w:r>
      <w:r w:rsidRPr="006D6E55">
        <w:rPr>
          <w:bCs/>
        </w:rPr>
        <w:t xml:space="preserve"> and therefore we need to make sure specific measures are in place to support the Trust</w:t>
      </w:r>
      <w:r w:rsidR="009E7DEC">
        <w:rPr>
          <w:bCs/>
        </w:rPr>
        <w:t>’s</w:t>
      </w:r>
      <w:r w:rsidRPr="006D6E55">
        <w:rPr>
          <w:bCs/>
        </w:rPr>
        <w:t xml:space="preserve"> reputation and ensure funds are spent wisely. Previously we have required these as part of the initial application </w:t>
      </w:r>
      <w:r w:rsidR="00CF6C8C" w:rsidRPr="006D6E55">
        <w:rPr>
          <w:bCs/>
        </w:rPr>
        <w:t>process,</w:t>
      </w:r>
      <w:r w:rsidRPr="006D6E55">
        <w:rPr>
          <w:bCs/>
        </w:rPr>
        <w:t xml:space="preserve"> but we have change</w:t>
      </w:r>
      <w:r w:rsidR="00CF6C8C">
        <w:rPr>
          <w:bCs/>
        </w:rPr>
        <w:t>d</w:t>
      </w:r>
      <w:r w:rsidRPr="006D6E55">
        <w:rPr>
          <w:bCs/>
        </w:rPr>
        <w:t xml:space="preserve"> to make the process simpler in the first instance and only collect when you have been made a funding offer.</w:t>
      </w:r>
    </w:p>
    <w:p w14:paraId="6C084FEF" w14:textId="175843DC" w:rsidR="00B5679E" w:rsidRDefault="00B5679E" w:rsidP="00B5679E">
      <w:pPr>
        <w:pStyle w:val="Standard"/>
        <w:spacing w:after="130"/>
        <w:ind w:left="-5"/>
      </w:pPr>
      <w:r>
        <w:rPr>
          <w:b/>
        </w:rPr>
        <w:t>Can we apply again?</w:t>
      </w:r>
    </w:p>
    <w:p w14:paraId="15EF762B" w14:textId="77777777" w:rsidR="00B5679E" w:rsidRDefault="00B5679E" w:rsidP="00B5679E">
      <w:pPr>
        <w:pStyle w:val="Standard"/>
        <w:ind w:left="-5"/>
      </w:pPr>
      <w:r>
        <w:t>We welcome applications from groups who have received a previous award, but any further application must be able to demonstrate that additional money will be used to further develop the impact of a project and not to sustain project activity that has previously been funded.</w:t>
      </w:r>
    </w:p>
    <w:p w14:paraId="706683E4" w14:textId="158B2762" w:rsidR="006D6E55" w:rsidRPr="006D6E55" w:rsidRDefault="006D6E55" w:rsidP="00B5679E">
      <w:pPr>
        <w:pStyle w:val="Standard"/>
        <w:ind w:left="-5"/>
        <w:rPr>
          <w:b/>
          <w:bCs/>
        </w:rPr>
      </w:pPr>
      <w:r w:rsidRPr="006D6E55">
        <w:rPr>
          <w:b/>
          <w:bCs/>
        </w:rPr>
        <w:t>Further support</w:t>
      </w:r>
    </w:p>
    <w:p w14:paraId="62239FB3" w14:textId="0DFB3096" w:rsidR="003C47F9" w:rsidRDefault="006D6E55">
      <w:pPr>
        <w:rPr>
          <w:rFonts w:ascii="Arial" w:hAnsi="Arial" w:cs="Arial"/>
        </w:rPr>
      </w:pPr>
      <w:r w:rsidRPr="006D6E55">
        <w:rPr>
          <w:rFonts w:ascii="Arial" w:hAnsi="Arial" w:cs="Arial"/>
        </w:rPr>
        <w:t xml:space="preserve">If you have any further questions that are not covered in the document, then please contact us on </w:t>
      </w:r>
      <w:hyperlink r:id="rId7" w:history="1">
        <w:r w:rsidR="00FF6C24" w:rsidRPr="001C7E64">
          <w:rPr>
            <w:rStyle w:val="Hyperlink"/>
            <w:rFonts w:ascii="Arial" w:hAnsi="Arial" w:cs="Arial"/>
          </w:rPr>
          <w:t>info@sjsht.co.uk</w:t>
        </w:r>
      </w:hyperlink>
      <w:r w:rsidR="00FF6C24">
        <w:rPr>
          <w:rFonts w:ascii="Arial" w:hAnsi="Arial" w:cs="Arial"/>
        </w:rPr>
        <w:t xml:space="preserve"> </w:t>
      </w:r>
      <w:r w:rsidRPr="006D6E55">
        <w:rPr>
          <w:rFonts w:ascii="Arial" w:hAnsi="Arial" w:cs="Arial"/>
        </w:rPr>
        <w:t>and we will respond as soon as possible.</w:t>
      </w:r>
    </w:p>
    <w:p w14:paraId="455C7472" w14:textId="77777777" w:rsidR="006D6E55" w:rsidRDefault="006D6E55">
      <w:pPr>
        <w:rPr>
          <w:rFonts w:ascii="Arial" w:hAnsi="Arial" w:cs="Arial"/>
        </w:rPr>
      </w:pPr>
    </w:p>
    <w:p w14:paraId="27866EFD" w14:textId="77B6D70A" w:rsidR="006D6E55" w:rsidRPr="006D6E55" w:rsidRDefault="006D6E55">
      <w:pPr>
        <w:rPr>
          <w:rFonts w:ascii="Arial" w:hAnsi="Arial" w:cs="Arial"/>
        </w:rPr>
      </w:pPr>
      <w:r>
        <w:rPr>
          <w:rFonts w:ascii="Arial" w:hAnsi="Arial" w:cs="Arial"/>
        </w:rPr>
        <w:t>Please read our guidance notes which will support you to understand exactly what we are looking for from your group/organisation as part of the application process.</w:t>
      </w:r>
    </w:p>
    <w:p w14:paraId="7C0BE3C8" w14:textId="77777777" w:rsidR="00777775" w:rsidRDefault="00777775"/>
    <w:p w14:paraId="459AF4B6" w14:textId="6690A0CC" w:rsidR="00777775" w:rsidRPr="00777775" w:rsidRDefault="00777775" w:rsidP="00777775">
      <w:pPr>
        <w:jc w:val="center"/>
        <w:rPr>
          <w:rFonts w:ascii="Arial" w:hAnsi="Arial" w:cs="Arial"/>
          <w:b/>
          <w:bCs/>
          <w:sz w:val="28"/>
          <w:szCs w:val="28"/>
        </w:rPr>
      </w:pPr>
      <w:r w:rsidRPr="00777775">
        <w:rPr>
          <w:rFonts w:ascii="Arial" w:hAnsi="Arial" w:cs="Arial"/>
          <w:b/>
          <w:bCs/>
          <w:sz w:val="28"/>
          <w:szCs w:val="28"/>
        </w:rPr>
        <w:t>Thank you for you</w:t>
      </w:r>
      <w:r w:rsidR="00CB73D8">
        <w:rPr>
          <w:rFonts w:ascii="Arial" w:hAnsi="Arial" w:cs="Arial"/>
          <w:b/>
          <w:bCs/>
          <w:sz w:val="28"/>
          <w:szCs w:val="28"/>
        </w:rPr>
        <w:t>r</w:t>
      </w:r>
      <w:r w:rsidRPr="00777775">
        <w:rPr>
          <w:rFonts w:ascii="Arial" w:hAnsi="Arial" w:cs="Arial"/>
          <w:b/>
          <w:bCs/>
          <w:sz w:val="28"/>
          <w:szCs w:val="28"/>
        </w:rPr>
        <w:t xml:space="preserve"> interest in the Scottish Junior Sports and Health </w:t>
      </w:r>
      <w:r>
        <w:rPr>
          <w:rFonts w:ascii="Arial" w:hAnsi="Arial" w:cs="Arial"/>
          <w:b/>
          <w:bCs/>
          <w:sz w:val="28"/>
          <w:szCs w:val="28"/>
        </w:rPr>
        <w:t>T</w:t>
      </w:r>
      <w:r w:rsidRPr="00777775">
        <w:rPr>
          <w:rFonts w:ascii="Arial" w:hAnsi="Arial" w:cs="Arial"/>
          <w:b/>
          <w:bCs/>
          <w:sz w:val="28"/>
          <w:szCs w:val="28"/>
        </w:rPr>
        <w:t>rust</w:t>
      </w:r>
    </w:p>
    <w:sectPr w:rsidR="00777775" w:rsidRPr="007777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4E5B" w14:textId="77777777" w:rsidR="00185074" w:rsidRDefault="00185074" w:rsidP="00B5679E">
      <w:r>
        <w:separator/>
      </w:r>
    </w:p>
  </w:endnote>
  <w:endnote w:type="continuationSeparator" w:id="0">
    <w:p w14:paraId="268DD697" w14:textId="77777777" w:rsidR="00185074" w:rsidRDefault="00185074" w:rsidP="00B5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
    <w:altName w:val="Calibri"/>
    <w:panose1 w:val="020B0604020202020204"/>
    <w:charset w:val="00"/>
    <w:family w:val="auto"/>
    <w:pitch w:val="variable"/>
  </w:font>
  <w:font w:name="Aptos Display">
    <w:panose1 w:val="020B0004020202020204"/>
    <w:charset w:val="00"/>
    <w:family w:val="swiss"/>
    <w:pitch w:val="variable"/>
    <w:sig w:usb0="20000287" w:usb1="00000003" w:usb2="00000000" w:usb3="00000000" w:csb0="0000019F" w:csb1="00000000"/>
  </w:font>
  <w:font w:name="Playfair Display">
    <w:panose1 w:val="00000500000000000000"/>
    <w:charset w:val="4D"/>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C857" w14:textId="77777777" w:rsidR="005E1129" w:rsidRDefault="005E1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0065" w14:textId="77777777" w:rsidR="004F1982" w:rsidRDefault="004F1982" w:rsidP="004F1982">
    <w:pPr>
      <w:pStyle w:val="Footer"/>
      <w:jc w:val="center"/>
      <w:rPr>
        <w:rFonts w:ascii="Playfair Display" w:hAnsi="Playfair Display"/>
        <w:i/>
        <w:iCs/>
        <w:color w:val="111111"/>
        <w:shd w:val="clear" w:color="auto" w:fill="FDFDFD"/>
      </w:rPr>
    </w:pPr>
    <w:r w:rsidRPr="00D60902">
      <w:rPr>
        <w:rFonts w:ascii="Playfair Display" w:hAnsi="Playfair Display"/>
        <w:i/>
        <w:iCs/>
        <w:color w:val="111111"/>
        <w:shd w:val="clear" w:color="auto" w:fill="FDFDFD"/>
      </w:rPr>
      <w:t>Scottish Registered Charity No: SCO37302 (Founded 2006)</w:t>
    </w:r>
  </w:p>
  <w:p w14:paraId="34314A30" w14:textId="77777777" w:rsidR="004F1982" w:rsidRDefault="004F1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819E" w14:textId="77777777" w:rsidR="005E1129" w:rsidRDefault="005E1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9EDF" w14:textId="77777777" w:rsidR="00185074" w:rsidRDefault="00185074" w:rsidP="00B5679E">
      <w:r>
        <w:separator/>
      </w:r>
    </w:p>
  </w:footnote>
  <w:footnote w:type="continuationSeparator" w:id="0">
    <w:p w14:paraId="51531FB7" w14:textId="77777777" w:rsidR="00185074" w:rsidRDefault="00185074" w:rsidP="00B56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ED6B" w14:textId="77777777" w:rsidR="005E1129" w:rsidRDefault="005E1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B6D6" w14:textId="517A5715" w:rsidR="004F1982" w:rsidRDefault="002155B7" w:rsidP="002155B7">
    <w:pPr>
      <w:pStyle w:val="Header"/>
      <w:jc w:val="center"/>
    </w:pPr>
    <w:r>
      <w:rPr>
        <w:noProof/>
        <w14:ligatures w14:val="standardContextual"/>
      </w:rPr>
      <w:drawing>
        <wp:inline distT="0" distB="0" distL="0" distR="0" wp14:anchorId="5D6B98F8" wp14:editId="1B2186DA">
          <wp:extent cx="1739236" cy="806450"/>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9236" cy="806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93B9" w14:textId="77777777" w:rsidR="005E1129" w:rsidRDefault="005E1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401"/>
    <w:multiLevelType w:val="hybridMultilevel"/>
    <w:tmpl w:val="82F80198"/>
    <w:lvl w:ilvl="0" w:tplc="08090001">
      <w:start w:val="1"/>
      <w:numFmt w:val="bullet"/>
      <w:lvlText w:val=""/>
      <w:lvlJc w:val="left"/>
      <w:pPr>
        <w:ind w:left="703" w:hanging="360"/>
      </w:pPr>
      <w:rPr>
        <w:rFonts w:ascii="Symbol" w:hAnsi="Symbol"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1" w15:restartNumberingAfterBreak="0">
    <w:nsid w:val="14ED0CE4"/>
    <w:multiLevelType w:val="hybridMultilevel"/>
    <w:tmpl w:val="5730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876D0"/>
    <w:multiLevelType w:val="hybridMultilevel"/>
    <w:tmpl w:val="C414E0A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60AD1A74"/>
    <w:multiLevelType w:val="multilevel"/>
    <w:tmpl w:val="0158E90A"/>
    <w:styleLink w:val="WWNum4"/>
    <w:lvl w:ilvl="0">
      <w:numFmt w:val="bullet"/>
      <w:lvlText w:val="•"/>
      <w:lvlJc w:val="left"/>
      <w:pPr>
        <w:ind w:left="840" w:firstLine="0"/>
      </w:pPr>
      <w:rPr>
        <w:rFonts w:ascii="Arial" w:hAnsi="Arial" w:cs="Arial"/>
        <w:b w:val="0"/>
        <w:i w:val="0"/>
        <w:strike w:val="0"/>
        <w:dstrike w:val="0"/>
        <w:color w:val="000000"/>
        <w:position w:val="0"/>
        <w:sz w:val="24"/>
        <w:szCs w:val="24"/>
        <w:u w:val="none"/>
        <w:shd w:val="clear" w:color="auto" w:fill="auto"/>
        <w:vertAlign w:val="baseline"/>
      </w:rPr>
    </w:lvl>
    <w:lvl w:ilvl="1">
      <w:numFmt w:val="bullet"/>
      <w:lvlText w:val="o"/>
      <w:lvlJc w:val="left"/>
      <w:pPr>
        <w:ind w:left="1484" w:firstLine="0"/>
      </w:pPr>
      <w:rPr>
        <w:rFonts w:ascii="Arial" w:hAnsi="Arial" w:cs="Arial"/>
        <w:b w:val="0"/>
        <w:i w:val="0"/>
        <w:strike w:val="0"/>
        <w:dstrike w:val="0"/>
        <w:color w:val="000000"/>
        <w:position w:val="0"/>
        <w:sz w:val="24"/>
        <w:szCs w:val="24"/>
        <w:u w:val="none"/>
        <w:shd w:val="clear" w:color="auto" w:fill="auto"/>
        <w:vertAlign w:val="baseline"/>
      </w:rPr>
    </w:lvl>
    <w:lvl w:ilvl="2">
      <w:numFmt w:val="bullet"/>
      <w:lvlText w:val="▪"/>
      <w:lvlJc w:val="left"/>
      <w:pPr>
        <w:ind w:left="2204" w:firstLine="0"/>
      </w:pPr>
      <w:rPr>
        <w:rFonts w:ascii="Arial" w:hAnsi="Arial" w:cs="Arial"/>
        <w:b w:val="0"/>
        <w:i w:val="0"/>
        <w:strike w:val="0"/>
        <w:dstrike w:val="0"/>
        <w:color w:val="000000"/>
        <w:position w:val="0"/>
        <w:sz w:val="24"/>
        <w:szCs w:val="24"/>
        <w:u w:val="none"/>
        <w:shd w:val="clear" w:color="auto" w:fill="auto"/>
        <w:vertAlign w:val="baseline"/>
      </w:rPr>
    </w:lvl>
    <w:lvl w:ilvl="3">
      <w:numFmt w:val="bullet"/>
      <w:lvlText w:val="•"/>
      <w:lvlJc w:val="left"/>
      <w:pPr>
        <w:ind w:left="2924" w:firstLine="0"/>
      </w:pPr>
      <w:rPr>
        <w:rFonts w:ascii="Arial" w:hAnsi="Arial" w:cs="Arial"/>
        <w:b w:val="0"/>
        <w:i w:val="0"/>
        <w:strike w:val="0"/>
        <w:dstrike w:val="0"/>
        <w:color w:val="000000"/>
        <w:position w:val="0"/>
        <w:sz w:val="24"/>
        <w:szCs w:val="24"/>
        <w:u w:val="none"/>
        <w:shd w:val="clear" w:color="auto" w:fill="auto"/>
        <w:vertAlign w:val="baseline"/>
      </w:rPr>
    </w:lvl>
    <w:lvl w:ilvl="4">
      <w:numFmt w:val="bullet"/>
      <w:lvlText w:val="o"/>
      <w:lvlJc w:val="left"/>
      <w:pPr>
        <w:ind w:left="3644" w:firstLine="0"/>
      </w:pPr>
      <w:rPr>
        <w:rFonts w:ascii="Arial" w:hAnsi="Arial" w:cs="Arial"/>
        <w:b w:val="0"/>
        <w:i w:val="0"/>
        <w:strike w:val="0"/>
        <w:dstrike w:val="0"/>
        <w:color w:val="000000"/>
        <w:position w:val="0"/>
        <w:sz w:val="24"/>
        <w:szCs w:val="24"/>
        <w:u w:val="none"/>
        <w:shd w:val="clear" w:color="auto" w:fill="auto"/>
        <w:vertAlign w:val="baseline"/>
      </w:rPr>
    </w:lvl>
    <w:lvl w:ilvl="5">
      <w:numFmt w:val="bullet"/>
      <w:lvlText w:val="▪"/>
      <w:lvlJc w:val="left"/>
      <w:pPr>
        <w:ind w:left="4364" w:firstLine="0"/>
      </w:pPr>
      <w:rPr>
        <w:rFonts w:ascii="Arial" w:hAnsi="Arial" w:cs="Arial"/>
        <w:b w:val="0"/>
        <w:i w:val="0"/>
        <w:strike w:val="0"/>
        <w:dstrike w:val="0"/>
        <w:color w:val="000000"/>
        <w:position w:val="0"/>
        <w:sz w:val="24"/>
        <w:szCs w:val="24"/>
        <w:u w:val="none"/>
        <w:shd w:val="clear" w:color="auto" w:fill="auto"/>
        <w:vertAlign w:val="baseline"/>
      </w:rPr>
    </w:lvl>
    <w:lvl w:ilvl="6">
      <w:numFmt w:val="bullet"/>
      <w:lvlText w:val="•"/>
      <w:lvlJc w:val="left"/>
      <w:pPr>
        <w:ind w:left="5084" w:firstLine="0"/>
      </w:pPr>
      <w:rPr>
        <w:rFonts w:ascii="Arial" w:hAnsi="Arial" w:cs="Arial"/>
        <w:b w:val="0"/>
        <w:i w:val="0"/>
        <w:strike w:val="0"/>
        <w:dstrike w:val="0"/>
        <w:color w:val="000000"/>
        <w:position w:val="0"/>
        <w:sz w:val="24"/>
        <w:szCs w:val="24"/>
        <w:u w:val="none"/>
        <w:shd w:val="clear" w:color="auto" w:fill="auto"/>
        <w:vertAlign w:val="baseline"/>
      </w:rPr>
    </w:lvl>
    <w:lvl w:ilvl="7">
      <w:numFmt w:val="bullet"/>
      <w:lvlText w:val="o"/>
      <w:lvlJc w:val="left"/>
      <w:pPr>
        <w:ind w:left="5804" w:firstLine="0"/>
      </w:pPr>
      <w:rPr>
        <w:rFonts w:ascii="Arial" w:hAnsi="Arial" w:cs="Arial"/>
        <w:b w:val="0"/>
        <w:i w:val="0"/>
        <w:strike w:val="0"/>
        <w:dstrike w:val="0"/>
        <w:color w:val="000000"/>
        <w:position w:val="0"/>
        <w:sz w:val="24"/>
        <w:szCs w:val="24"/>
        <w:u w:val="none"/>
        <w:shd w:val="clear" w:color="auto" w:fill="auto"/>
        <w:vertAlign w:val="baseline"/>
      </w:rPr>
    </w:lvl>
    <w:lvl w:ilvl="8">
      <w:numFmt w:val="bullet"/>
      <w:lvlText w:val="▪"/>
      <w:lvlJc w:val="left"/>
      <w:pPr>
        <w:ind w:left="6524" w:firstLine="0"/>
      </w:pPr>
      <w:rPr>
        <w:rFonts w:ascii="Arial" w:hAnsi="Arial" w:cs="Arial"/>
        <w:b w:val="0"/>
        <w:i w:val="0"/>
        <w:strike w:val="0"/>
        <w:dstrike w:val="0"/>
        <w:color w:val="000000"/>
        <w:position w:val="0"/>
        <w:sz w:val="24"/>
        <w:szCs w:val="24"/>
        <w:u w:val="none"/>
        <w:shd w:val="clear" w:color="auto" w:fill="auto"/>
        <w:vertAlign w:val="baseline"/>
      </w:rPr>
    </w:lvl>
  </w:abstractNum>
  <w:num w:numId="1" w16cid:durableId="709645213">
    <w:abstractNumId w:val="0"/>
  </w:num>
  <w:num w:numId="2" w16cid:durableId="56176337">
    <w:abstractNumId w:val="2"/>
  </w:num>
  <w:num w:numId="3" w16cid:durableId="1566573501">
    <w:abstractNumId w:val="1"/>
  </w:num>
  <w:num w:numId="4" w16cid:durableId="1439829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9E"/>
    <w:rsid w:val="000F332E"/>
    <w:rsid w:val="00185074"/>
    <w:rsid w:val="002155B7"/>
    <w:rsid w:val="003C47F9"/>
    <w:rsid w:val="004D024E"/>
    <w:rsid w:val="004F1982"/>
    <w:rsid w:val="005E1129"/>
    <w:rsid w:val="00667BD6"/>
    <w:rsid w:val="006D6E55"/>
    <w:rsid w:val="00777775"/>
    <w:rsid w:val="00943951"/>
    <w:rsid w:val="00984E5D"/>
    <w:rsid w:val="009E7DEC"/>
    <w:rsid w:val="00B5679E"/>
    <w:rsid w:val="00CB73D8"/>
    <w:rsid w:val="00CE0481"/>
    <w:rsid w:val="00CF6C8C"/>
    <w:rsid w:val="00FF6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DD4FA"/>
  <w15:chartTrackingRefBased/>
  <w15:docId w15:val="{A6533F54-AD94-4106-8B0D-AA46BEB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9E"/>
    <w:pPr>
      <w:widowControl w:val="0"/>
      <w:suppressAutoHyphens/>
      <w:autoSpaceDN w:val="0"/>
      <w:spacing w:after="0" w:line="240" w:lineRule="auto"/>
      <w:textAlignment w:val="baseline"/>
    </w:pPr>
    <w:rPr>
      <w:rFonts w:ascii="Calibri" w:eastAsia="F" w:hAnsi="Calibri" w:cs="F"/>
      <w:kern w:val="0"/>
      <w:sz w:val="24"/>
      <w:lang w:eastAsia="en-GB"/>
      <w14:ligatures w14:val="none"/>
    </w:rPr>
  </w:style>
  <w:style w:type="paragraph" w:styleId="Heading1">
    <w:name w:val="heading 1"/>
    <w:basedOn w:val="Normal"/>
    <w:next w:val="Normal"/>
    <w:link w:val="Heading1Char"/>
    <w:uiPriority w:val="9"/>
    <w:qFormat/>
    <w:rsid w:val="00B56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6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67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7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7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7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7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7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7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79E"/>
    <w:rPr>
      <w:rFonts w:eastAsiaTheme="majorEastAsia" w:cstheme="majorBidi"/>
      <w:color w:val="272727" w:themeColor="text1" w:themeTint="D8"/>
    </w:rPr>
  </w:style>
  <w:style w:type="paragraph" w:styleId="Title">
    <w:name w:val="Title"/>
    <w:basedOn w:val="Normal"/>
    <w:next w:val="Normal"/>
    <w:link w:val="TitleChar"/>
    <w:uiPriority w:val="10"/>
    <w:qFormat/>
    <w:rsid w:val="00B567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79E"/>
    <w:pPr>
      <w:spacing w:before="160"/>
      <w:jc w:val="center"/>
    </w:pPr>
    <w:rPr>
      <w:i/>
      <w:iCs/>
      <w:color w:val="404040" w:themeColor="text1" w:themeTint="BF"/>
    </w:rPr>
  </w:style>
  <w:style w:type="character" w:customStyle="1" w:styleId="QuoteChar">
    <w:name w:val="Quote Char"/>
    <w:basedOn w:val="DefaultParagraphFont"/>
    <w:link w:val="Quote"/>
    <w:uiPriority w:val="29"/>
    <w:rsid w:val="00B5679E"/>
    <w:rPr>
      <w:i/>
      <w:iCs/>
      <w:color w:val="404040" w:themeColor="text1" w:themeTint="BF"/>
    </w:rPr>
  </w:style>
  <w:style w:type="paragraph" w:styleId="ListParagraph">
    <w:name w:val="List Paragraph"/>
    <w:basedOn w:val="Normal"/>
    <w:uiPriority w:val="34"/>
    <w:qFormat/>
    <w:rsid w:val="00B5679E"/>
    <w:pPr>
      <w:ind w:left="720"/>
      <w:contextualSpacing/>
    </w:pPr>
  </w:style>
  <w:style w:type="character" w:styleId="IntenseEmphasis">
    <w:name w:val="Intense Emphasis"/>
    <w:basedOn w:val="DefaultParagraphFont"/>
    <w:uiPriority w:val="21"/>
    <w:qFormat/>
    <w:rsid w:val="00B5679E"/>
    <w:rPr>
      <w:i/>
      <w:iCs/>
      <w:color w:val="0F4761" w:themeColor="accent1" w:themeShade="BF"/>
    </w:rPr>
  </w:style>
  <w:style w:type="paragraph" w:styleId="IntenseQuote">
    <w:name w:val="Intense Quote"/>
    <w:basedOn w:val="Normal"/>
    <w:next w:val="Normal"/>
    <w:link w:val="IntenseQuoteChar"/>
    <w:uiPriority w:val="30"/>
    <w:qFormat/>
    <w:rsid w:val="00B56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79E"/>
    <w:rPr>
      <w:i/>
      <w:iCs/>
      <w:color w:val="0F4761" w:themeColor="accent1" w:themeShade="BF"/>
    </w:rPr>
  </w:style>
  <w:style w:type="character" w:styleId="IntenseReference">
    <w:name w:val="Intense Reference"/>
    <w:basedOn w:val="DefaultParagraphFont"/>
    <w:uiPriority w:val="32"/>
    <w:qFormat/>
    <w:rsid w:val="00B5679E"/>
    <w:rPr>
      <w:b/>
      <w:bCs/>
      <w:smallCaps/>
      <w:color w:val="0F4761" w:themeColor="accent1" w:themeShade="BF"/>
      <w:spacing w:val="5"/>
    </w:rPr>
  </w:style>
  <w:style w:type="paragraph" w:customStyle="1" w:styleId="Standard">
    <w:name w:val="Standard"/>
    <w:rsid w:val="00B5679E"/>
    <w:pPr>
      <w:suppressAutoHyphens/>
      <w:autoSpaceDN w:val="0"/>
      <w:spacing w:after="271" w:line="247" w:lineRule="auto"/>
      <w:ind w:left="10" w:hanging="10"/>
      <w:jc w:val="both"/>
      <w:textAlignment w:val="baseline"/>
    </w:pPr>
    <w:rPr>
      <w:rFonts w:ascii="Arial" w:eastAsia="Arial" w:hAnsi="Arial" w:cs="Arial"/>
      <w:color w:val="000000"/>
      <w:kern w:val="0"/>
      <w:sz w:val="24"/>
      <w:lang w:eastAsia="en-GB"/>
      <w14:ligatures w14:val="none"/>
    </w:rPr>
  </w:style>
  <w:style w:type="character" w:styleId="CommentReference">
    <w:name w:val="annotation reference"/>
    <w:basedOn w:val="DefaultParagraphFont"/>
    <w:uiPriority w:val="99"/>
    <w:semiHidden/>
    <w:unhideWhenUsed/>
    <w:rsid w:val="00B5679E"/>
    <w:rPr>
      <w:sz w:val="16"/>
      <w:szCs w:val="16"/>
    </w:rPr>
  </w:style>
  <w:style w:type="paragraph" w:styleId="CommentText">
    <w:name w:val="annotation text"/>
    <w:basedOn w:val="Normal"/>
    <w:link w:val="CommentTextChar"/>
    <w:uiPriority w:val="99"/>
    <w:unhideWhenUsed/>
    <w:rsid w:val="00B5679E"/>
    <w:rPr>
      <w:sz w:val="20"/>
      <w:szCs w:val="20"/>
    </w:rPr>
  </w:style>
  <w:style w:type="character" w:customStyle="1" w:styleId="CommentTextChar">
    <w:name w:val="Comment Text Char"/>
    <w:basedOn w:val="DefaultParagraphFont"/>
    <w:link w:val="CommentText"/>
    <w:uiPriority w:val="99"/>
    <w:rsid w:val="00B5679E"/>
    <w:rPr>
      <w:rFonts w:ascii="Calibri" w:eastAsia="F" w:hAnsi="Calibri" w:cs="F"/>
      <w:kern w:val="0"/>
      <w:sz w:val="20"/>
      <w:szCs w:val="20"/>
      <w:lang w:eastAsia="en-GB"/>
      <w14:ligatures w14:val="none"/>
    </w:rPr>
  </w:style>
  <w:style w:type="table" w:styleId="TableGrid">
    <w:name w:val="Table Grid"/>
    <w:basedOn w:val="TableNormal"/>
    <w:uiPriority w:val="39"/>
    <w:rsid w:val="00B5679E"/>
    <w:pPr>
      <w:widowControl w:val="0"/>
      <w:suppressAutoHyphens/>
      <w:autoSpaceDN w:val="0"/>
      <w:spacing w:after="0" w:line="240" w:lineRule="auto"/>
      <w:textAlignment w:val="baseline"/>
    </w:pPr>
    <w:rPr>
      <w:rFonts w:ascii="Calibri" w:eastAsia="F" w:hAnsi="Calibri" w:cs="F"/>
      <w:kern w:val="0"/>
      <w:sz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79E"/>
    <w:pPr>
      <w:tabs>
        <w:tab w:val="center" w:pos="4513"/>
        <w:tab w:val="right" w:pos="9026"/>
      </w:tabs>
    </w:pPr>
  </w:style>
  <w:style w:type="character" w:customStyle="1" w:styleId="HeaderChar">
    <w:name w:val="Header Char"/>
    <w:basedOn w:val="DefaultParagraphFont"/>
    <w:link w:val="Header"/>
    <w:uiPriority w:val="99"/>
    <w:rsid w:val="00B5679E"/>
    <w:rPr>
      <w:rFonts w:ascii="Calibri" w:eastAsia="F" w:hAnsi="Calibri" w:cs="F"/>
      <w:kern w:val="0"/>
      <w:sz w:val="24"/>
      <w:lang w:eastAsia="en-GB"/>
      <w14:ligatures w14:val="none"/>
    </w:rPr>
  </w:style>
  <w:style w:type="paragraph" w:styleId="Footer">
    <w:name w:val="footer"/>
    <w:basedOn w:val="Normal"/>
    <w:link w:val="FooterChar"/>
    <w:uiPriority w:val="99"/>
    <w:unhideWhenUsed/>
    <w:rsid w:val="00B5679E"/>
    <w:pPr>
      <w:tabs>
        <w:tab w:val="center" w:pos="4513"/>
        <w:tab w:val="right" w:pos="9026"/>
      </w:tabs>
    </w:pPr>
  </w:style>
  <w:style w:type="character" w:customStyle="1" w:styleId="FooterChar">
    <w:name w:val="Footer Char"/>
    <w:basedOn w:val="DefaultParagraphFont"/>
    <w:link w:val="Footer"/>
    <w:uiPriority w:val="99"/>
    <w:rsid w:val="00B5679E"/>
    <w:rPr>
      <w:rFonts w:ascii="Calibri" w:eastAsia="F" w:hAnsi="Calibri" w:cs="F"/>
      <w:kern w:val="0"/>
      <w:sz w:val="24"/>
      <w:lang w:eastAsia="en-GB"/>
      <w14:ligatures w14:val="none"/>
    </w:rPr>
  </w:style>
  <w:style w:type="paragraph" w:styleId="CommentSubject">
    <w:name w:val="annotation subject"/>
    <w:basedOn w:val="CommentText"/>
    <w:next w:val="CommentText"/>
    <w:link w:val="CommentSubjectChar"/>
    <w:uiPriority w:val="99"/>
    <w:semiHidden/>
    <w:unhideWhenUsed/>
    <w:rsid w:val="009E7DEC"/>
    <w:rPr>
      <w:b/>
      <w:bCs/>
    </w:rPr>
  </w:style>
  <w:style w:type="character" w:customStyle="1" w:styleId="CommentSubjectChar">
    <w:name w:val="Comment Subject Char"/>
    <w:basedOn w:val="CommentTextChar"/>
    <w:link w:val="CommentSubject"/>
    <w:uiPriority w:val="99"/>
    <w:semiHidden/>
    <w:rsid w:val="009E7DEC"/>
    <w:rPr>
      <w:rFonts w:ascii="Calibri" w:eastAsia="F" w:hAnsi="Calibri" w:cs="F"/>
      <w:b/>
      <w:bCs/>
      <w:kern w:val="0"/>
      <w:sz w:val="20"/>
      <w:szCs w:val="20"/>
      <w:lang w:eastAsia="en-GB"/>
      <w14:ligatures w14:val="none"/>
    </w:rPr>
  </w:style>
  <w:style w:type="character" w:styleId="Hyperlink">
    <w:name w:val="Hyperlink"/>
    <w:basedOn w:val="DefaultParagraphFont"/>
    <w:uiPriority w:val="99"/>
    <w:unhideWhenUsed/>
    <w:rsid w:val="00FF6C24"/>
    <w:rPr>
      <w:color w:val="467886" w:themeColor="hyperlink"/>
      <w:u w:val="single"/>
    </w:rPr>
  </w:style>
  <w:style w:type="character" w:styleId="UnresolvedMention">
    <w:name w:val="Unresolved Mention"/>
    <w:basedOn w:val="DefaultParagraphFont"/>
    <w:uiPriority w:val="99"/>
    <w:semiHidden/>
    <w:unhideWhenUsed/>
    <w:rsid w:val="00FF6C24"/>
    <w:rPr>
      <w:color w:val="605E5C"/>
      <w:shd w:val="clear" w:color="auto" w:fill="E1DFDD"/>
    </w:rPr>
  </w:style>
  <w:style w:type="numbering" w:customStyle="1" w:styleId="WWNum4">
    <w:name w:val="WWNum4"/>
    <w:basedOn w:val="NoList"/>
    <w:rsid w:val="00984E5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sjsh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Dolby</dc:creator>
  <cp:keywords/>
  <dc:description/>
  <cp:lastModifiedBy>David McColm</cp:lastModifiedBy>
  <cp:revision>12</cp:revision>
  <dcterms:created xsi:type="dcterms:W3CDTF">2024-01-26T12:29:00Z</dcterms:created>
  <dcterms:modified xsi:type="dcterms:W3CDTF">2024-04-10T08:55:00Z</dcterms:modified>
</cp:coreProperties>
</file>